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E9207" w14:textId="1804C275" w:rsidR="00C23A1B" w:rsidRDefault="00C23A1B" w:rsidP="00C23A1B">
      <w:pPr>
        <w:jc w:val="both"/>
        <w:rPr>
          <w:rFonts w:ascii="Calibri" w:hAnsi="Calibri" w:cs="Calibri"/>
          <w:sz w:val="22"/>
          <w:szCs w:val="22"/>
        </w:rPr>
      </w:pPr>
      <w:r w:rsidRPr="00C23A1B">
        <w:rPr>
          <w:rFonts w:ascii="Calibri" w:hAnsi="Calibri" w:cs="Calibri"/>
          <w:b/>
          <w:bCs/>
          <w:sz w:val="22"/>
          <w:szCs w:val="22"/>
        </w:rPr>
        <w:t>Paraná</w:t>
      </w:r>
      <w:r>
        <w:rPr>
          <w:rFonts w:ascii="Calibri" w:hAnsi="Calibri" w:cs="Calibri"/>
          <w:sz w:val="22"/>
          <w:szCs w:val="22"/>
        </w:rPr>
        <w:t xml:space="preserve"> - </w:t>
      </w:r>
      <w:r w:rsidRPr="00C23A1B">
        <w:rPr>
          <w:rFonts w:ascii="Calibri" w:hAnsi="Calibri" w:cs="Calibri"/>
          <w:sz w:val="22"/>
          <w:szCs w:val="22"/>
        </w:rPr>
        <w:t>Apelação cível. Ação de retificação de nome e gênero. Sentença que julgou procedente os pedidos da inicial.</w:t>
      </w:r>
      <w:r>
        <w:rPr>
          <w:rFonts w:ascii="Calibri" w:hAnsi="Calibri" w:cs="Calibri"/>
          <w:sz w:val="22"/>
          <w:szCs w:val="22"/>
        </w:rPr>
        <w:t xml:space="preserve"> P</w:t>
      </w:r>
      <w:r w:rsidRPr="00C23A1B">
        <w:rPr>
          <w:rFonts w:ascii="Calibri" w:hAnsi="Calibri" w:cs="Calibri"/>
          <w:sz w:val="22"/>
          <w:szCs w:val="22"/>
        </w:rPr>
        <w:t xml:space="preserve">essoa transgênero. Alteração do prenome e gênero no registro civil. Manifestação de vontade. Possibilidade de alteração. Ação direta de inconstitucionalidade n.º 4.275/DF. Decisão judicial que possui natureza declaratória e não constitutiva de direito. Precedentes deste </w:t>
      </w:r>
      <w:r>
        <w:rPr>
          <w:rFonts w:ascii="Calibri" w:hAnsi="Calibri" w:cs="Calibri"/>
          <w:sz w:val="22"/>
          <w:szCs w:val="22"/>
        </w:rPr>
        <w:t>T</w:t>
      </w:r>
      <w:r w:rsidRPr="00C23A1B">
        <w:rPr>
          <w:rFonts w:ascii="Calibri" w:hAnsi="Calibri" w:cs="Calibri"/>
          <w:sz w:val="22"/>
          <w:szCs w:val="22"/>
        </w:rPr>
        <w:t>ribunal. Ausência de prejuízo a terceiros. Sentença mantida</w:t>
      </w:r>
      <w:r w:rsidRPr="00C23A1B">
        <w:rPr>
          <w:rFonts w:ascii="Calibri" w:hAnsi="Calibri" w:cs="Calibri"/>
          <w:sz w:val="22"/>
          <w:szCs w:val="22"/>
        </w:rPr>
        <w:t>. - O Supremo Tribunal Federal no julgamento da ADI n.º 4275/DF, definiu o entendimento no sentido de que “a identidade de gênero é manifestação da própria personalidade da pessoa humana e, como tal, cabe ao Estado apenas o papel de reconhecê-la, nunca de constituí-la”. Recurso não provido</w:t>
      </w:r>
      <w:r>
        <w:rPr>
          <w:rFonts w:ascii="Calibri" w:hAnsi="Calibri" w:cs="Calibri"/>
          <w:sz w:val="22"/>
          <w:szCs w:val="22"/>
        </w:rPr>
        <w:t xml:space="preserve">. </w:t>
      </w:r>
      <w:r w:rsidRPr="00C23A1B">
        <w:rPr>
          <w:rFonts w:ascii="Calibri" w:hAnsi="Calibri" w:cs="Calibri"/>
          <w:sz w:val="22"/>
          <w:szCs w:val="22"/>
        </w:rPr>
        <w:t xml:space="preserve">TJPR </w:t>
      </w:r>
      <w:r>
        <w:rPr>
          <w:rFonts w:ascii="Calibri" w:hAnsi="Calibri" w:cs="Calibri"/>
          <w:sz w:val="22"/>
          <w:szCs w:val="22"/>
        </w:rPr>
        <w:t xml:space="preserve">- AC </w:t>
      </w:r>
      <w:r w:rsidRPr="00C23A1B">
        <w:rPr>
          <w:rFonts w:ascii="Calibri" w:hAnsi="Calibri" w:cs="Calibri"/>
          <w:sz w:val="22"/>
          <w:szCs w:val="22"/>
        </w:rPr>
        <w:t>00023366420248160179 Curitiba, 18ª C</w:t>
      </w:r>
      <w:r>
        <w:rPr>
          <w:rFonts w:ascii="Calibri" w:hAnsi="Calibri" w:cs="Calibri"/>
          <w:sz w:val="22"/>
          <w:szCs w:val="22"/>
        </w:rPr>
        <w:t>.</w:t>
      </w:r>
      <w:r w:rsidRPr="00C23A1B">
        <w:rPr>
          <w:rFonts w:ascii="Calibri" w:hAnsi="Calibri" w:cs="Calibri"/>
          <w:sz w:val="22"/>
          <w:szCs w:val="22"/>
        </w:rPr>
        <w:t xml:space="preserve"> Cível,</w:t>
      </w:r>
      <w:r>
        <w:rPr>
          <w:rFonts w:ascii="Calibri" w:hAnsi="Calibri" w:cs="Calibri"/>
          <w:sz w:val="22"/>
          <w:szCs w:val="22"/>
        </w:rPr>
        <w:t xml:space="preserve"> </w:t>
      </w:r>
      <w:r w:rsidRPr="00C23A1B">
        <w:rPr>
          <w:rFonts w:ascii="Calibri" w:hAnsi="Calibri" w:cs="Calibri"/>
          <w:sz w:val="22"/>
          <w:szCs w:val="22"/>
        </w:rPr>
        <w:t>Rel</w:t>
      </w:r>
      <w:r>
        <w:rPr>
          <w:rFonts w:ascii="Calibri" w:hAnsi="Calibri" w:cs="Calibri"/>
          <w:sz w:val="22"/>
          <w:szCs w:val="22"/>
        </w:rPr>
        <w:t>.</w:t>
      </w:r>
      <w:r w:rsidRPr="00C23A1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23A1B">
        <w:rPr>
          <w:rFonts w:ascii="Calibri" w:hAnsi="Calibri" w:cs="Calibri"/>
          <w:sz w:val="22"/>
          <w:szCs w:val="22"/>
        </w:rPr>
        <w:t>Pericles</w:t>
      </w:r>
      <w:proofErr w:type="spellEnd"/>
      <w:r w:rsidRPr="00C23A1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23A1B">
        <w:rPr>
          <w:rFonts w:ascii="Calibri" w:hAnsi="Calibri" w:cs="Calibri"/>
          <w:sz w:val="22"/>
          <w:szCs w:val="22"/>
        </w:rPr>
        <w:t>Bellusci</w:t>
      </w:r>
      <w:proofErr w:type="spellEnd"/>
      <w:r w:rsidRPr="00C23A1B">
        <w:rPr>
          <w:rFonts w:ascii="Calibri" w:hAnsi="Calibri" w:cs="Calibri"/>
          <w:sz w:val="22"/>
          <w:szCs w:val="22"/>
        </w:rPr>
        <w:t xml:space="preserve"> de Batista Pereira, </w:t>
      </w:r>
      <w:r>
        <w:rPr>
          <w:rFonts w:ascii="Calibri" w:hAnsi="Calibri" w:cs="Calibri"/>
          <w:sz w:val="22"/>
          <w:szCs w:val="22"/>
        </w:rPr>
        <w:t>j.</w:t>
      </w:r>
      <w:r w:rsidRPr="00C23A1B">
        <w:rPr>
          <w:rFonts w:ascii="Calibri" w:hAnsi="Calibri" w:cs="Calibri"/>
          <w:sz w:val="22"/>
          <w:szCs w:val="22"/>
        </w:rPr>
        <w:t xml:space="preserve"> 08/12/2025</w:t>
      </w:r>
      <w:r>
        <w:rPr>
          <w:rFonts w:ascii="Calibri" w:hAnsi="Calibri" w:cs="Calibri"/>
          <w:sz w:val="22"/>
          <w:szCs w:val="22"/>
        </w:rPr>
        <w:t>.</w:t>
      </w:r>
      <w:r w:rsidRPr="00C23A1B">
        <w:rPr>
          <w:rFonts w:ascii="Calibri" w:hAnsi="Calibri" w:cs="Calibri"/>
          <w:sz w:val="22"/>
          <w:szCs w:val="22"/>
        </w:rPr>
        <w:t xml:space="preserve"> </w:t>
      </w:r>
    </w:p>
    <w:p w14:paraId="0FA6C732" w14:textId="77777777" w:rsidR="00C23A1B" w:rsidRDefault="00C23A1B" w:rsidP="00C23A1B">
      <w:pPr>
        <w:jc w:val="both"/>
        <w:rPr>
          <w:rFonts w:ascii="Calibri" w:hAnsi="Calibri" w:cs="Calibri"/>
          <w:sz w:val="22"/>
          <w:szCs w:val="22"/>
        </w:rPr>
      </w:pPr>
    </w:p>
    <w:p w14:paraId="200FAB77" w14:textId="77777777" w:rsidR="00487C4A" w:rsidRDefault="00487C4A"/>
    <w:sectPr w:rsidR="00487C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A1B"/>
    <w:rsid w:val="00487C4A"/>
    <w:rsid w:val="00C23A1B"/>
    <w:rsid w:val="00D125ED"/>
    <w:rsid w:val="00E4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DCDD8"/>
  <w15:chartTrackingRefBased/>
  <w15:docId w15:val="{AA1AEB63-A196-458C-A60E-603727FC0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23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23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23A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23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23A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23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23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23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23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23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23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23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23A1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23A1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23A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23A1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23A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23A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23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23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23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23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23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23A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23A1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23A1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23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23A1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23A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724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Érica</dc:creator>
  <cp:keywords/>
  <dc:description/>
  <cp:lastModifiedBy>Érica</cp:lastModifiedBy>
  <cp:revision>1</cp:revision>
  <dcterms:created xsi:type="dcterms:W3CDTF">2026-01-20T17:49:00Z</dcterms:created>
  <dcterms:modified xsi:type="dcterms:W3CDTF">2026-01-20T17:53:00Z</dcterms:modified>
</cp:coreProperties>
</file>